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10010</w:t>
        <w:t xml:space="preserve">.  </w:t>
      </w:r>
      <w:r>
        <w:rPr>
          <w:b/>
        </w:rPr>
        <w:t xml:space="preserve">Current members and veterans of the United States Armed Forces</w:t>
      </w:r>
    </w:p>
    <w:p>
      <w:pPr>
        <w:jc w:val="both"/>
        <w:spacing w:before="100" w:after="100"/>
        <w:ind w:start="360"/>
        <w:ind w:firstLine="360"/>
      </w:pPr>
      <w:r>
        <w:rPr/>
      </w:r>
      <w:r>
        <w:rPr/>
      </w:r>
      <w:r>
        <w:t xml:space="preserve">If a current member of the United States Armed Forces or a veteran of the United States Armed Forces who has been honorably discharged is enrolled in a program of education at any campus of the University of Maine System, the Maine Community College System or the Maine Maritime Academy, that member or veteran is eligible for in-state tuition rates, regardless of the member's or veteran's state of residence.</w:t>
      </w:r>
      <w:r>
        <w:t xml:space="preserve">  </w:t>
      </w:r>
      <w:r xmlns:wp="http://schemas.openxmlformats.org/drawingml/2010/wordprocessingDrawing" xmlns:w15="http://schemas.microsoft.com/office/word/2012/wordml">
        <w:rPr>
          <w:rFonts w:ascii="Arial" w:hAnsi="Arial" w:cs="Arial"/>
          <w:sz w:val="22"/>
          <w:szCs w:val="22"/>
        </w:rPr>
        <w:t xml:space="preserve">[PL 2013, c. 488,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443, §1 (NEW). PL 2009, c. 463, §1 (AMD). PL 2013, c. 311, §2 (AMD). PL 2013, c. 488,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§10010. Current members and veterans of the United States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§10010. Current members and veterans of the United States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§10010. CURRENT MEMBERS AND VETERANS OF THE UNITED STATES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