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10950</w:t>
        <w:t xml:space="preserve">.  </w:t>
      </w:r>
      <w:r>
        <w:rPr>
          <w:b/>
        </w:rPr>
        <w:t xml:space="preserve">Legislative findings of fact</w:t>
      </w:r>
    </w:p>
    <w:p>
      <w:pPr>
        <w:jc w:val="both"/>
        <w:spacing w:before="100" w:after="100"/>
        <w:ind w:start="360"/>
        <w:ind w:firstLine="360"/>
      </w:pPr>
      <w:r>
        <w:rPr/>
      </w:r>
      <w:r>
        <w:rPr/>
      </w:r>
      <w:r>
        <w:t xml:space="preserve">The purpose of this chapter is to promote the welfare and prosperity of the people of the State and the continuation and improvement of their educational opportunities through enabling the University of Maine System to borrow money and enter into financing transactions in its own name, on behalf of the State, to provide money for the financing of acquisition, construction, reconstruction, improvement and equipping of facilities, structures and related systems in furtherance of the purposes of the University of Maine System, all to the public benefit and good, and the exercise of the powers, to the extent and manner provided in this chapter, is declared to be for a public purpose and to be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§10950. Legislative findings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§10950. Legislative findings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§10950. LEGISLATIVE FINDINGS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