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11009</w:t>
        <w:t xml:space="preserve">.  </w:t>
      </w:r>
      <w:r>
        <w:rPr>
          <w:b/>
        </w:rPr>
        <w:t xml:space="preserve">Withdrawal - Article IX</w:t>
      </w:r>
    </w:p>
    <w:p>
      <w:pPr>
        <w:jc w:val="both"/>
        <w:spacing w:before="100" w:after="100"/>
        <w:ind w:start="360"/>
        <w:ind w:firstLine="360"/>
      </w:pPr>
      <w:r>
        <w:rPr/>
      </w:r>
      <w:r>
        <w:rPr/>
      </w:r>
      <w:r>
        <w:t xml:space="preserve">This compact shall continue in force and remain binding upon a compacting state until the legislature or the governor of such state, as the laws of such state shall provide, takes action to withdraw therefrom.  Such action shall not be effective until 2 years after notice thereof has been sent by the governor of the state desiring to withdraw to the governors of all other states then parties to the compact.  Such withdrawal shall not relieve the withdrawing state from its obligations accruing prior to the effective date of withdrawal.  Any state so withdrawing, unless reinstated, shall cease to have any claim to or ownership of any of the property held by or vested in the board or to any of the funds of the board held under the terms of the compact.  Thereafter, the withdrawing state may be reinstated by application after appropriate legislation is enacted by such state, upon approval by a majority vote of the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§11009. Withdrawal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§11009. Withdrawal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§11009. WITHDRAWAL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