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11432</w:t>
        <w:t xml:space="preserve">.  </w:t>
      </w:r>
      <w:r>
        <w:rPr>
          <w:b/>
        </w:rPr>
        <w:t xml:space="preserve">Termination of existence of authority</w:t>
      </w:r>
    </w:p>
    <w:p>
      <w:pPr>
        <w:jc w:val="both"/>
        <w:spacing w:before="100" w:after="100"/>
        <w:ind w:start="360"/>
        <w:ind w:firstLine="360"/>
      </w:pPr>
      <w:r>
        <w:rPr/>
      </w:r>
      <w:r>
        <w:rPr/>
      </w:r>
      <w:r>
        <w:t xml:space="preserve">A law terminating  the existence  of the authority may not take effect as long as any bonds of the authority issued under this chapter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§11432. Termination of existence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§11432. Termination of existence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§11432. TERMINATION OF EXISTENCE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