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11449</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capital reserve fund may not be withdrawn at any time in such amount as would reduce the amount of any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may not issue bonds if the capital reserve requirement described in </w:t>
      </w:r>
      <w:r>
        <w:t>subsection 3</w:t>
      </w:r>
      <w:r>
        <w:t xml:space="preserve"> with respect to bonds outstanding and then to be issued and secured by any capital reserve fund will exceed the amount of any such fund at the time of issuance, unless the authority, at the time of issuance of the bonds, deposits in any such fund from proceeds of the bonds to be issued, or from other sources, an amount which, together with the amount then in any such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applies according to the trust agreement or other document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must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applies according to the trust agreement or other document in principal amount exceeding $50,000,000.  The amount of bonds issued to refund bonds previously issued may not be taken into account in determining the principal amount of the bonds outstanding, provided that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are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§11449. Capital reserve funds; obligation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§11449. Capital reserve funds; obligation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§11449. CAPITAL RESERVE FUNDS; OBLIGATION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