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11462</w:t>
        <w:t xml:space="preserve">.  </w:t>
      </w:r>
      <w:r>
        <w:rPr>
          <w:b/>
        </w:rPr>
        <w:t xml:space="preserve">Loans to minors</w:t>
      </w:r>
    </w:p>
    <w:p>
      <w:pPr>
        <w:jc w:val="both"/>
        <w:spacing w:before="100" w:after="100"/>
        <w:ind w:start="360"/>
        <w:ind w:firstLine="360"/>
      </w:pPr>
      <w:r>
        <w:rPr/>
      </w:r>
      <w:r>
        <w:rPr/>
      </w:r>
      <w:r>
        <w:t xml:space="preserve">Notwithstanding any other law, if the borrower on a loan made or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§11462. Loans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§11462. Loans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§11462. LOANS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