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11615</w:t>
        <w:t xml:space="preserve">.  </w:t>
      </w:r>
      <w:r>
        <w:rPr>
          <w:b/>
        </w:rPr>
        <w:t xml:space="preserve">Publication of grant amounts</w:t>
      </w:r>
    </w:p>
    <w:p>
      <w:pPr>
        <w:jc w:val="both"/>
        <w:spacing w:before="100" w:after="100"/>
        <w:ind w:start="360"/>
        <w:ind w:firstLine="360"/>
      </w:pPr>
      <w:r>
        <w:rPr/>
      </w:r>
      <w:r>
        <w:rPr/>
      </w:r>
      <w:r>
        <w:t xml:space="preserve">Prior to March 1st of each year, the authority shall publish grant amounts for the succeeding academic year.</w:t>
      </w:r>
      <w:r>
        <w:t xml:space="preserve">  </w:t>
      </w:r>
      <w:r xmlns:wp="http://schemas.openxmlformats.org/drawingml/2010/wordprocessingDrawing" xmlns:w15="http://schemas.microsoft.com/office/word/2012/wordml">
        <w:rPr>
          <w:rFonts w:ascii="Arial" w:hAnsi="Arial" w:cs="Arial"/>
          <w:sz w:val="22"/>
          <w:szCs w:val="22"/>
        </w:rPr>
        <w:t xml:space="preserve">[PL 2001, c. 70,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§11615. Publication of grant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§11615. Publication of grant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§11615. PUBLICATION OF GRANT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