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01. Disqualification for state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1. Disqualification for state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01. DISQUALIFICATION FOR STATE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