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12983</w:t>
        <w:t xml:space="preserve">.  </w:t>
      </w:r>
      <w:r>
        <w:rPr>
          <w:b/>
        </w:rPr>
        <w:t xml:space="preserve">Notice to proceed</w:t>
      </w:r>
    </w:p>
    <w:p>
      <w:pPr>
        <w:jc w:val="both"/>
        <w:spacing w:before="100" w:after="100"/>
        <w:ind w:start="360"/>
        <w:ind w:firstLine="360"/>
      </w:pPr>
      <w:r>
        <w:rPr/>
      </w:r>
      <w:r>
        <w:rPr/>
      </w:r>
      <w:r>
        <w:t xml:space="preserve">Each institution shall provide a reporting party and a responding party with written notice of the institution's decision to hold a disciplinary proceeding regarding an allegation of sexual violence, intimate partner violence or stalking sufficiently in advance of a disciplinary proceeding to provide the reporting and responding parties with the opportunity to meaningfully exercise their rights.  The disciplinary proceeding must provide due process and be prompt, fair and impartial and include the opportunity for both parties to present witnesses and other evidence.  The written notice must include the information required to be posted on the institution's publicly accessible website pursuant to </w:t>
      </w:r>
      <w:r>
        <w:t>section 12982,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§12983. Notice to proceed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§12983. Notice to proceed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§12983. NOTICE TO PROCEED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