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13006-A</w:t>
        <w:t xml:space="preserve">.  </w:t>
      </w:r>
      <w:r>
        <w:rPr>
          <w:b/>
        </w:rPr>
        <w:t xml:space="preserve">Rulemaking</w:t>
      </w:r>
    </w:p>
    <w:p>
      <w:pPr>
        <w:jc w:val="both"/>
        <w:spacing w:before="100" w:after="100"/>
        <w:ind w:start="360"/>
        <w:ind w:firstLine="360"/>
      </w:pPr>
      <w:r>
        <w:rPr>
          <w:b/>
        </w:rPr>
        <w:t>1</w:t>
        <w:t xml:space="preserve">.  </w:t>
      </w:r>
      <w:r>
        <w:rPr>
          <w:b/>
        </w:rPr>
        <w:t xml:space="preserve">State board authority.</w:t>
        <w:t xml:space="preserve"> </w:t>
      </w:r>
      <w:r>
        <w:t xml:space="preserve"> </w:t>
      </w:r>
      <w:r>
        <w:t xml:space="preserve">Except as otherwise provided, the state board has authority to adopt rules to implement this chapter, </w:t>
      </w:r>
      <w:r>
        <w:t>chapter 502</w:t>
      </w:r>
      <w:r>
        <w:t xml:space="preserve"> and </w:t>
      </w:r>
      <w:r>
        <w:t>chapter 502‑A</w:t>
      </w:r>
      <w:r>
        <w:t xml:space="preserve">.  Rules adopted by the state board to implement this chapter and </w:t>
      </w:r>
      <w:r>
        <w:t>chapter 502</w:t>
      </w:r>
      <w:r>
        <w:t xml:space="preserve"> are major substantive rules, as defined in </w:t>
      </w:r>
      <w:r>
        <w:t>Title 5, chapter 375, subchapter 2‑A</w:t>
      </w:r>
      <w:r>
        <w:t xml:space="preserve">, except that the following rules are routine technical rules:</w:t>
      </w:r>
    </w:p>
    <w:p>
      <w:pPr>
        <w:jc w:val="both"/>
        <w:spacing w:before="100" w:after="0"/>
        <w:ind w:start="720"/>
      </w:pPr>
      <w:r>
        <w:rPr/>
        <w:t>A</w:t>
        <w:t xml:space="preserve">.  </w:t>
      </w:r>
      <w:r>
        <w:rPr/>
      </w:r>
      <w:r>
        <w:t xml:space="preserve">Rules adopted by the state board to implement </w:t>
      </w:r>
      <w:r>
        <w:t>section 13032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235, §5 (NEW); PL 2017, c. 235, §41 (AFF).]</w:t>
      </w:r>
    </w:p>
    <w:p>
      <w:pPr>
        <w:jc w:val="both"/>
        <w:spacing w:before="100" w:after="0"/>
        <w:ind w:start="720"/>
      </w:pPr>
      <w:r>
        <w:rPr/>
        <w:t>B</w:t>
        <w:t xml:space="preserve">.  </w:t>
      </w:r>
      <w:r>
        <w:rPr/>
      </w:r>
      <w:r>
        <w:t xml:space="preserve">Rules adopted by the state board to implement </w:t>
      </w:r>
      <w:r>
        <w:t>section 13011,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235, §5 (NEW); PL 2017, c. 235,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§5 (NEW); PL 2017, c. 235, §41 (AFF).]</w:t>
      </w:r>
    </w:p>
    <w:p>
      <w:pPr>
        <w:jc w:val="both"/>
        <w:spacing w:before="100" w:after="100"/>
        <w:ind w:start="360"/>
        <w:ind w:firstLine="360"/>
      </w:pPr>
      <w:r>
        <w:rPr>
          <w:b/>
        </w:rPr>
        <w:t>2</w:t>
        <w:t xml:space="preserve">.  </w:t>
      </w:r>
      <w:r>
        <w:rPr>
          <w:b/>
        </w:rPr>
        <w:t xml:space="preserve">Commissioner authority.</w:t>
        <w:t xml:space="preserve"> </w:t>
      </w:r>
      <w:r>
        <w:t xml:space="preserve"> </w:t>
      </w:r>
      <w:r>
        <w:t xml:space="preserve">Notwithstanding </w:t>
      </w:r>
      <w:r>
        <w:t>subsection 1</w:t>
      </w:r>
      <w:r>
        <w:t xml:space="preserve">, the commissioner has authority to adopt rules:</w:t>
      </w:r>
    </w:p>
    <w:p>
      <w:pPr>
        <w:jc w:val="both"/>
        <w:spacing w:before="100" w:after="0"/>
        <w:ind w:start="720"/>
      </w:pPr>
      <w:r>
        <w:rPr/>
        <w:t>A</w:t>
        <w:t xml:space="preserve">.  </w:t>
      </w:r>
      <w:r>
        <w:rPr/>
      </w:r>
      <w:r>
        <w:t xml:space="preserve">To determine the qualifications and process for issuing clearance credentials under </w:t>
      </w:r>
      <w:r>
        <w:t>chapter 502</w:t>
      </w:r>
      <w:r>
        <w:t xml:space="preserve">.  These rules are routine technical rules, as defined in </w:t>
      </w:r>
      <w:r>
        <w:t>Title 5, chapter 375, subchapter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235, §5 (NEW); PL 2017, c. 235, §41 (AFF).]</w:t>
      </w:r>
    </w:p>
    <w:p>
      <w:pPr>
        <w:jc w:val="both"/>
        <w:spacing w:before="100" w:after="0"/>
        <w:ind w:start="720"/>
      </w:pPr>
      <w:r>
        <w:rPr/>
        <w:t>B</w:t>
        <w:t xml:space="preserve">.  </w:t>
      </w:r>
      <w:r>
        <w:rPr/>
      </w:r>
      <w:r>
        <w:t xml:space="preserve">Governing the collection and handling of records and information regarding the experiences, qualifications and character of persons seeking credentials under this chapter and </w:t>
      </w:r>
      <w:r>
        <w:t>chapter 502</w:t>
      </w:r>
      <w:r>
        <w:t xml:space="preserve">.  These rules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235, §5 (NEW); PL 2017, c. 235,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§5 (NEW); PL 2017, c. 235, §41 (AFF).]</w:t>
      </w:r>
    </w:p>
    <w:p>
      <w:pPr>
        <w:jc w:val="both"/>
        <w:spacing w:before="100" w:after="100"/>
        <w:ind w:start="360"/>
        <w:ind w:firstLine="360"/>
      </w:pPr>
      <w:r>
        <w:rPr>
          <w:b/>
        </w:rPr>
        <w:t>3</w:t>
        <w:t xml:space="preserve">.  </w:t>
      </w:r>
      <w:r>
        <w:rPr>
          <w:b/>
        </w:rPr>
        <w:t xml:space="preserve">Application of rules revising credential qualifications or endorsements. </w:t>
        <w:t xml:space="preserve"> </w:t>
      </w:r>
      <w:r>
        <w:t xml:space="preserve"> </w:t>
      </w:r>
      <w:r>
        <w:t xml:space="preserve">An amendment to the rules adopted to implement this chapter or </w:t>
      </w:r>
      <w:r>
        <w:t>chapter 502</w:t>
      </w:r>
      <w:r>
        <w:t xml:space="preserve"> that revises the qualifications for a credential or the grades or subject area endorsements for a professional teacher certificate does not apply to the following:</w:t>
      </w:r>
    </w:p>
    <w:p>
      <w:pPr>
        <w:jc w:val="both"/>
        <w:spacing w:before="100" w:after="0"/>
        <w:ind w:start="720"/>
      </w:pPr>
      <w:r>
        <w:rPr/>
        <w:t>A</w:t>
        <w:t xml:space="preserve">.  </w:t>
      </w:r>
      <w:r>
        <w:rPr/>
      </w:r>
      <w:r>
        <w:t xml:space="preserve">A person who held an active credential or endorsement during the school year preceding the adoption of revisions to the rules;</w:t>
      </w:r>
      <w:r>
        <w:t xml:space="preserve">  </w:t>
      </w:r>
      <w:r xmlns:wp="http://schemas.openxmlformats.org/drawingml/2010/wordprocessingDrawing" xmlns:w15="http://schemas.microsoft.com/office/word/2012/wordml">
        <w:rPr>
          <w:rFonts w:ascii="Arial" w:hAnsi="Arial" w:cs="Arial"/>
          <w:sz w:val="22"/>
          <w:szCs w:val="22"/>
        </w:rPr>
        <w:t xml:space="preserve">[PL 2019, c. 584, §1 (NEW).]</w:t>
      </w:r>
    </w:p>
    <w:p>
      <w:pPr>
        <w:jc w:val="both"/>
        <w:spacing w:before="100" w:after="0"/>
        <w:ind w:start="720"/>
      </w:pPr>
      <w:r>
        <w:rPr/>
        <w:t>B</w:t>
        <w:t xml:space="preserve">.  </w:t>
      </w:r>
      <w:r>
        <w:rPr/>
      </w:r>
      <w:r>
        <w:t xml:space="preserve">A person who held an active conditional certificate during the school year preceding the adoption of revisions to the rules;</w:t>
      </w:r>
      <w:r>
        <w:t xml:space="preserve">  </w:t>
      </w:r>
      <w:r xmlns:wp="http://schemas.openxmlformats.org/drawingml/2010/wordprocessingDrawing" xmlns:w15="http://schemas.microsoft.com/office/word/2012/wordml">
        <w:rPr>
          <w:rFonts w:ascii="Arial" w:hAnsi="Arial" w:cs="Arial"/>
          <w:sz w:val="22"/>
          <w:szCs w:val="22"/>
        </w:rPr>
        <w:t xml:space="preserve">[PL 2019, c. 584, §1 (NEW).]</w:t>
      </w:r>
    </w:p>
    <w:p>
      <w:pPr>
        <w:jc w:val="both"/>
        <w:spacing w:before="100" w:after="0"/>
        <w:ind w:start="720"/>
      </w:pPr>
      <w:r>
        <w:rPr/>
        <w:t>C</w:t>
        <w:t xml:space="preserve">.  </w:t>
      </w:r>
      <w:r>
        <w:rPr/>
      </w:r>
      <w:r>
        <w:t xml:space="preserve">A program completer who qualified for a recommendation for certification as a teacher during the school year preceding the adoption of revisions to the rules;</w:t>
      </w:r>
      <w:r>
        <w:t xml:space="preserve">  </w:t>
      </w:r>
      <w:r xmlns:wp="http://schemas.openxmlformats.org/drawingml/2010/wordprocessingDrawing" xmlns:w15="http://schemas.microsoft.com/office/word/2012/wordml">
        <w:rPr>
          <w:rFonts w:ascii="Arial" w:hAnsi="Arial" w:cs="Arial"/>
          <w:sz w:val="22"/>
          <w:szCs w:val="22"/>
        </w:rPr>
        <w:t xml:space="preserve">[PL 2019, c. 584, §1 (NEW).]</w:t>
      </w:r>
    </w:p>
    <w:p>
      <w:pPr>
        <w:jc w:val="both"/>
        <w:spacing w:before="100" w:after="0"/>
        <w:ind w:start="720"/>
      </w:pPr>
      <w:r>
        <w:rPr/>
        <w:t>D</w:t>
        <w:t xml:space="preserve">.  </w:t>
      </w:r>
      <w:r>
        <w:rPr/>
      </w:r>
      <w:r>
        <w:t xml:space="preserve">A person enrolled in an educator preparation program during the school year preceding the adoption of revisions to the rules; or</w:t>
      </w:r>
      <w:r>
        <w:t xml:space="preserve">  </w:t>
      </w:r>
      <w:r xmlns:wp="http://schemas.openxmlformats.org/drawingml/2010/wordprocessingDrawing" xmlns:w15="http://schemas.microsoft.com/office/word/2012/wordml">
        <w:rPr>
          <w:rFonts w:ascii="Arial" w:hAnsi="Arial" w:cs="Arial"/>
          <w:sz w:val="22"/>
          <w:szCs w:val="22"/>
        </w:rPr>
        <w:t xml:space="preserve">[PL 2019, c. 584, §1 (NEW).]</w:t>
      </w:r>
    </w:p>
    <w:p>
      <w:pPr>
        <w:jc w:val="both"/>
        <w:spacing w:before="100" w:after="0"/>
        <w:ind w:start="720"/>
      </w:pPr>
      <w:r>
        <w:rPr/>
        <w:t>E</w:t>
        <w:t xml:space="preserve">.  </w:t>
      </w:r>
      <w:r>
        <w:rPr/>
      </w:r>
      <w:r>
        <w:t xml:space="preserve">A person who began the application process for professional teacher certification with the department during the school year preceding the adoption of revisions to the rules.</w:t>
      </w:r>
      <w:r>
        <w:t xml:space="preserve">  </w:t>
      </w:r>
      <w:r xmlns:wp="http://schemas.openxmlformats.org/drawingml/2010/wordprocessingDrawing" xmlns:w15="http://schemas.microsoft.com/office/word/2012/wordml">
        <w:rPr>
          <w:rFonts w:ascii="Arial" w:hAnsi="Arial" w:cs="Arial"/>
          <w:sz w:val="22"/>
          <w:szCs w:val="22"/>
        </w:rPr>
        <w:t xml:space="preserve">[PL 2019, c. 584,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584,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§5 (NEW). PL 2017, c. 235, §41 (AFF). PL 2019, c. 584,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§13006-A.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§13006-A.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§13006-A.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