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13026</w:t>
        <w:t xml:space="preserve">.  </w:t>
      </w:r>
      <w:r>
        <w:rPr>
          <w:b/>
        </w:rPr>
        <w:t xml:space="preserve">Compliance with criminal history record check and fingerprinting requirements</w:t>
      </w:r>
    </w:p>
    <w:p>
      <w:pPr>
        <w:jc w:val="both"/>
        <w:spacing w:before="100" w:after="0"/>
        <w:ind w:start="360"/>
        <w:ind w:firstLine="360"/>
      </w:pPr>
      <w:r>
        <w:rPr>
          <w:b/>
        </w:rPr>
        <w:t>1</w:t>
        <w:t xml:space="preserve">.  </w:t>
      </w:r>
      <w:r>
        <w:rPr>
          <w:b/>
        </w:rPr>
        <w:t xml:space="preserve">List of school administrative unit employees.</w:t>
        <w:t xml:space="preserve"> </w:t>
      </w:r>
      <w:r>
        <w:t xml:space="preserve"> </w:t>
      </w:r>
      <w:r>
        <w:t xml:space="preserve">Beginning January 1, 2019, and quarterly thereafter, a school administrative unit shall submit to the department a list of the names of all employees subject to certification, approval or authorization and indicate for each person included on the list the date on which the person most recently commenced employment with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426, §1 (NEW).]</w:t>
      </w:r>
    </w:p>
    <w:p>
      <w:pPr>
        <w:jc w:val="both"/>
        <w:spacing w:before="100" w:after="0"/>
        <w:ind w:start="360"/>
        <w:ind w:firstLine="360"/>
      </w:pPr>
      <w:r>
        <w:rPr>
          <w:b/>
        </w:rPr>
        <w:t>2</w:t>
        <w:t xml:space="preserve">.  </w:t>
      </w:r>
      <w:r>
        <w:rPr>
          <w:b/>
        </w:rPr>
        <w:t xml:space="preserve">Notification of noncompliance.</w:t>
        <w:t xml:space="preserve"> </w:t>
      </w:r>
      <w:r>
        <w:t xml:space="preserve"> </w:t>
      </w:r>
      <w:r>
        <w:t xml:space="preserve">Upon receipt of a list from a school administrative unit pursuant to </w:t>
      </w:r>
      <w:r>
        <w:t>subsection 1</w:t>
      </w:r>
      <w:r>
        <w:t xml:space="preserve">, the department shall determine for each person included on the list whether the person has complied with all applicable criminal history record check and fingerprinting requirements of </w:t>
      </w:r>
      <w:r>
        <w:t>section 6103</w:t>
      </w:r>
      <w:r>
        <w:t xml:space="preserve"> and rules adopted by the state board.  If the department determines that the person has failed to comply with any such applicable requirement, the department shall immediately notify the school administrative unit of the person's failure to comply.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§13026. Compliance with criminal history record check and fingerprinting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§13026. Compliance with criminal history record check and fingerprinting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§13026. COMPLIANCE WITH CRIMINAL HISTORY RECORD CHECK AND FINGERPRINTING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