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District assessments</w:t>
      </w:r>
    </w:p>
    <w:p>
      <w:pPr>
        <w:jc w:val="both"/>
        <w:spacing w:before="100" w:after="100"/>
        <w:ind w:start="360"/>
        <w:ind w:firstLine="360"/>
      </w:pPr>
      <w:r>
        <w:rPr/>
      </w:r>
      <w:r>
        <w:rPr/>
      </w:r>
      <w:r>
        <w:t xml:space="preserve">District assessments shall follow these procedures.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board of directors shall issue its warrants to the assessors of each member municipality requiring them to assess upon the taxable estates within the municipality an amount which is that municipality's share of the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§14 (AMD).]</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shall have the authority and powers to collect the district's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board of directors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district.  The payments shall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school administrative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§14 (AMD). PL 2003, c. 212,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