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13702</w:t>
        <w:t xml:space="preserve">.  </w:t>
      </w:r>
      <w:r>
        <w:rPr>
          <w:b/>
        </w:rPr>
        <w:t xml:space="preserve">Local development and implementation of system</w:t>
      </w:r>
    </w:p>
    <w:p>
      <w:pPr>
        <w:jc w:val="both"/>
        <w:spacing w:before="100" w:after="100"/>
        <w:ind w:start="360"/>
        <w:ind w:firstLine="360"/>
      </w:pPr>
      <w:r>
        <w:rPr/>
      </w:r>
      <w:r>
        <w:rPr/>
      </w:r>
      <w:r>
        <w:t xml:space="preserve">Each school administrative unit shall develop and implement a performance evaluation and professional growth system for educators.  The system must meet the criteria set forth in this chapter and rules adopted pursuant to this chapter and must be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635,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635, Pt. A,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§13702. Local development and implementation of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§13702. Local development and implementation of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§13702. LOCAL DEVELOPMENT AND IMPLEMENTATION OF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