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13801</w:t>
        <w:t xml:space="preserve">.  </w:t>
      </w:r>
      <w:r>
        <w:rPr>
          <w:b/>
        </w:rPr>
        <w:t xml:space="preserve">Residency requirement; collective bargaining</w:t>
      </w:r>
    </w:p>
    <w:p>
      <w:pPr>
        <w:jc w:val="both"/>
        <w:spacing w:before="100" w:after="100"/>
        <w:ind w:start="360"/>
        <w:ind w:firstLine="360"/>
      </w:pPr>
      <w:r>
        <w:rPr/>
      </w:r>
      <w:r>
        <w:rPr/>
      </w:r>
      <w:r>
        <w:t xml:space="preserve">If an administrative unit engages in collective bargaining as required in </w:t>
      </w:r>
      <w:r>
        <w:t>Title 26</w:t>
      </w:r>
      <w:r>
        <w:t xml:space="preserve">, then it shall not enact any ordinance which requires employees to reside within the boundaries of the unit as a condition for employment. A collective bargaining agreement may include a residency requirement for persons not yet employed at the time the agreement becomes effective.  If an administrative unit does not engage in collective bargaining as required in </w:t>
      </w:r>
      <w:r>
        <w:t>Title 26</w:t>
      </w:r>
      <w:r>
        <w:t xml:space="preserve">, then any ordinance it enacts which requires employees to reside within the boundaries of the unit shall not apply to persons already employees at the time the regulation becomes effective.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§13801. Residency requirement; collective bargaining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§13801. Residency requirement; collective bargaining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§13801. RESIDENCY REQUIREMENT; COLLECTIVE BARGAINING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