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1482-A</w:t>
        <w:t xml:space="preserve">.  </w:t>
      </w:r>
      <w:r>
        <w:rPr>
          <w:b/>
        </w:rPr>
        <w:t xml:space="preserve">Budget meeting</w:t>
      </w:r>
    </w:p>
    <w:p>
      <w:pPr>
        <w:jc w:val="both"/>
        <w:spacing w:before="100" w:after="100"/>
        <w:ind w:start="360"/>
        <w:ind w:firstLine="360"/>
      </w:pPr>
      <w:r>
        <w:rPr/>
      </w:r>
      <w:r>
        <w:rPr/>
      </w:r>
      <w:r>
        <w:t xml:space="preserve">A regional school unit board shall hold a regional school unit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must be called by a warrant.  The warrant must:</w:t>
      </w:r>
    </w:p>
    <w:p>
      <w:pPr>
        <w:jc w:val="both"/>
        <w:spacing w:before="100" w:after="0"/>
        <w:ind w:start="720"/>
      </w:pPr>
      <w:r>
        <w:rPr/>
        <w:t>A</w:t>
        <w:t xml:space="preserve">.  </w:t>
      </w:r>
      <w:r>
        <w:rPr/>
      </w:r>
      <w:r>
        <w:t xml:space="preserve">Be signed by a majority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C</w:t>
        <w:t xml:space="preserve">.  </w:t>
      </w:r>
      <w:r>
        <w:rPr/>
      </w:r>
      <w:r>
        <w:t xml:space="preserve">Include the proposed school budget and other articles the regional school unit board chooses to place before the voters, excluding authorization to borrow money for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E</w:t>
        <w:t xml:space="preserve">.  </w:t>
      </w:r>
      <w:r>
        <w:rPr/>
      </w:r>
      <w:r>
        <w:t xml:space="preserve">Be directed to a resident of the regional school unit by name ordering the resident to notify all voters within the regional school unit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must be posted by the person to whom it is directed in some conspicuous public place in each of the municipalities within the regional school unit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regional school unit, the regional school unit board shall place specific articles, not in conflict with existing state statutes, in the warrants for consideration at the next annual regional school unit budget meeting.  To be included in the warrant, a petition must be received by the regional school unit board at least 15 days before the date set for the budget meeting.  When placed on the warrant, the articles must be considered before action relating to the appropriation of money for the operation of schools may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§1482-A.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§1482-A.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§1482-A.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