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§1482-B. ANNUAL BUDGET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