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§1502. Method of calling a regional school unit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Method of calling a regional school unit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§1502. METHOD OF CALLING A REGIONAL SCHOOL UNIT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