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§15688. School administrative unit contribution to total cost of funding public education from kindergarten to grade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§15688. School administrative unit contribution to total cost of funding public education from kindergarten to grade 12</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§15688. SCHOOL ADMINISTRATIVE UNIT CONTRIBUTION TO TOTAL COST OF FUNDING PUBLIC EDUCATION FROM KINDERGARTEN TO GRADE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