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§1651. DISTRICT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