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 Purpose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Purpose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 PURPOSE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