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§2413-A. Funding for public charter schools authorized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§2413-A. Funding for public charter schools authorized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§2413-A. FUNDING FOR PUBLIC CHARTER SCHOOLS AUTHORIZED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