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3609</w:t>
        <w:t xml:space="preserve">.  </w:t>
      </w:r>
      <w:r>
        <w:rPr>
          <w:b/>
        </w:rPr>
        <w:t xml:space="preserve">Hearings</w:t>
      </w:r>
    </w:p>
    <w:p>
      <w:pPr>
        <w:jc w:val="both"/>
        <w:spacing w:before="100" w:after="100"/>
        <w:ind w:start="360"/>
        <w:ind w:firstLine="360"/>
      </w:pPr>
      <w:r>
        <w:rPr/>
      </w:r>
      <w:r>
        <w:rPr/>
      </w:r>
      <w:r>
        <w:t xml:space="preserve">If the planning committee recommends the formation of an interstate school district, it shall hold at least one public hearing on its report and the proposed articles of agreement within the proposed interstate school district in Maine, and at least one public hearing thereon within the proposed interstate school district in New Hampshire.  The planning committee shall give such notice thereof as it may determine to be reasonable, provided that such notice shall include at least one publication in a newspaper of general circulation within the proposed interstate school district not less than 15 days, not counting the date of publication and not counting the date of the hearing, before the date of the first hearing.  Such hearings may be adjourned from time to time and from place to place.  The planning committee may revise the proposed articles of agreement after the date of the hearings.  It shall not be required to hold further hearings on the revised articles of agreement but may hold one or more further hearings after notice similar to that required for the first hearings if the planning committee in its sole discretion determines that the revisions are so substantial in nature as to require further presentation to the public before submission to the state boards of education.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§3609.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§3609.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§3609.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