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3617</w:t>
        <w:t xml:space="preserve">.  </w:t>
      </w:r>
      <w:r>
        <w:rPr>
          <w:b/>
        </w:rPr>
        <w:t xml:space="preserve">Posting and publication of warrant</w:t>
      </w:r>
    </w:p>
    <w:p>
      <w:pPr>
        <w:jc w:val="both"/>
        <w:spacing w:before="100" w:after="100"/>
        <w:ind w:start="360"/>
        <w:ind w:firstLine="360"/>
      </w:pPr>
      <w:r>
        <w:rPr/>
      </w:r>
      <w:r>
        <w:rPr/>
      </w:r>
      <w:r>
        <w:t xml:space="preserve">The directors shall cause an attested copy of the warrant to be posted at the place of meeting, and a like copy at a public place in each member district at least 20 days, not counting the date of posting and the date of meeting, before the date of the meeting.  In addition, the directors shall cause the warrant to be advertised in a newspaper of general circulation on at least one occasion, such publication to occur at least 10 days, not counting the date of publication and not counting the date of the meeting, before the date of the meeting.  Although no further notice shall be required, the directors may give such further notice of the meeting as they in their discretion deem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§3617. Posting and publication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§3617. Posting and publication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§3617. POSTING AND PUBLICATION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