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3660</w:t>
        <w:t xml:space="preserve">.  </w:t>
      </w:r>
      <w:r>
        <w:rPr>
          <w:b/>
        </w:rPr>
        <w:t xml:space="preserve">Suit and service of process in Maine</w:t>
      </w:r>
    </w:p>
    <w:p>
      <w:pPr>
        <w:jc w:val="both"/>
        <w:spacing w:before="100" w:after="100"/>
        <w:ind w:start="360"/>
        <w:ind w:firstLine="360"/>
      </w:pPr>
      <w:r>
        <w:rPr/>
      </w:r>
      <w:r>
        <w:rPr/>
      </w:r>
      <w:r>
        <w:t xml:space="preserve">The courts of Maine shall have the same jurisdiction over the districts as though a Maine member district were a party instead of the interstate district.  The service necessary to institute suit in Maine shall be made on the district by leaving a copy of the writ or other proceedings in hand or at the last and usual place of abode of one of the directors who resides in Maine, and by mailing a like copy to the clerk and to one other director by certified mail with return receipt requested.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§3660. Suit and service of process in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§3660. Suit and service of process in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§3660. SUIT AND SERVICE OF PROCESS IN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