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§4514. COSTS OF ACCREDITATION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