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4516</w:t>
        <w:t xml:space="preserve">.  </w:t>
      </w:r>
      <w:r>
        <w:rPr>
          <w:b/>
        </w:rPr>
        <w:t xml:space="preserve">Rules</w:t>
      </w:r>
    </w:p>
    <w:p>
      <w:pPr>
        <w:jc w:val="both"/>
        <w:spacing w:before="100" w:after="0"/>
        <w:ind w:start="360"/>
        <w:ind w:firstLine="360"/>
      </w:pPr>
      <w:r>
        <w:rPr>
          <w:b/>
        </w:rPr>
        <w:t>1</w:t>
        <w:t xml:space="preserve">.  </w:t>
      </w:r>
      <w:r>
        <w:rPr>
          <w:b/>
        </w:rPr>
        <w:t xml:space="preserve">Adoption of 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commissioner, with the approval of the state board, shall appoint an advisory committee of professional and lay people to advise the commissioner in the adoption of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RR 2019, c. 2,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