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4704</w:t>
        <w:t xml:space="preserve">.  </w:t>
      </w:r>
      <w:r>
        <w:rPr>
          <w:b/>
        </w:rPr>
        <w:t xml:space="preserve">Courses prescribed by the commissioner</w:t>
      </w:r>
    </w:p>
    <w:p>
      <w:pPr>
        <w:jc w:val="both"/>
        <w:spacing w:before="100" w:after="100"/>
        <w:ind w:start="360"/>
        <w:ind w:firstLine="360"/>
      </w:pPr>
      <w:r>
        <w:rPr/>
      </w:r>
      <w:r>
        <w:rPr/>
      </w:r>
      <w:r>
        <w:t xml:space="preserve">The commissioner shall prescribe by rule the basic courses of study that are in alignment with the system of learning results as established in </w:t>
      </w:r>
      <w:r>
        <w:t>section 6209</w:t>
      </w:r>
      <w:r>
        <w:t xml:space="preserve"> for the elementary and secondary schools, consistent with the requirements of this chapter, and may include minimum time requirements and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2001, c. 454,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§4704. Courses prescribed by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§4704. Courses prescribed by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§4704. COURSES PRESCRIBED BY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