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4727</w:t>
        <w:t xml:space="preserve">.  </w:t>
      </w:r>
      <w:r>
        <w:rPr>
          <w:b/>
        </w:rPr>
        <w:t xml:space="preserve">Additional instruction</w:t>
      </w:r>
    </w:p>
    <w:p>
      <w:pPr>
        <w:jc w:val="both"/>
        <w:spacing w:before="100" w:after="100"/>
        <w:ind w:start="360"/>
        <w:ind w:firstLine="360"/>
      </w:pPr>
      <w:r>
        <w:rPr/>
      </w:r>
      <w:r>
        <w:rPr/>
      </w:r>
      <w:r>
        <w:t xml:space="preserve">Secondary schools may provide additional instruction in career and technical education and other subjects not included within the career and technical education courses of study operating pursuant to </w:t>
      </w:r>
      <w:r>
        <w:t>chapter 313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2003, c. 2, §34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PL 1991, c. 716, §§6,7 (AMD). RR 2003, c. 2, §34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§4727. Additional instruction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§4727. Additional instruction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§4727. ADDITIONAL INSTRUCTION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