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5164</w:t>
        <w:t xml:space="preserve">.  </w:t>
      </w:r>
      <w:r>
        <w:rPr>
          <w:b/>
        </w:rPr>
        <w:t xml:space="preserve">Planning for graduation</w:t>
      </w:r>
    </w:p>
    <w:p>
      <w:pPr>
        <w:jc w:val="both"/>
        <w:spacing w:before="100" w:after="100"/>
        <w:ind w:start="360"/>
        <w:ind w:firstLine="360"/>
      </w:pPr>
      <w:r>
        <w:rPr/>
      </w:r>
      <w:r>
        <w:rPr/>
      </w:r>
      <w:r>
        <w:t xml:space="preserve">If the student who experiences education disruption is between 16 years of age and 20 years of age, the school work recognition plan developed or updated following the education disruption must include a description of what the student must do in order to qualify to graduate with the student's peers or within a reasonable time thereafter.</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100"/>
        <w:ind w:start="360"/>
        <w:ind w:firstLine="360"/>
      </w:pPr>
      <w:r>
        <w:rPr/>
      </w:r>
      <w:r>
        <w:rPr/>
      </w:r>
      <w:r>
        <w:t xml:space="preserve">If it is determined by the responsible school and the student that the student cannot meet the school's requirements for graduation by the end of the student's 4th year of secondary school, the responsible school shall provide the student information about applying for a Department of Education diploma.  In accordance with </w:t>
      </w:r>
      <w:r>
        <w:t>section 257‑A, subsection 3</w:t>
      </w:r>
      <w:r>
        <w:t xml:space="preserve">, the responsible school shall provide support for and assist in the completion and submission of the application on the request of the student's parent or guardian or on the request of the student if the student is at least 18 years of age or is a student experiencing homelessness. Community providers may also assist in the application process.</w:t>
      </w:r>
      <w:r>
        <w:t xml:space="preserve">  </w:t>
      </w:r>
      <w:r xmlns:wp="http://schemas.openxmlformats.org/drawingml/2010/wordprocessingDrawing" xmlns:w15="http://schemas.microsoft.com/office/word/2012/wordml">
        <w:rPr>
          <w:rFonts w:ascii="Arial" w:hAnsi="Arial" w:cs="Arial"/>
          <w:sz w:val="22"/>
          <w:szCs w:val="22"/>
        </w:rPr>
        <w:t xml:space="preserve">[PL 2021, c. 445,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§15 (NEW). PL 2021, c. 445,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§5164. Planning for graduation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§5164. Planning for graduation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§5164. PLANNING FOR GRADUATION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