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5803</w:t>
        <w:t xml:space="preserve">.  </w:t>
      </w:r>
      <w:r>
        <w:rPr>
          <w:b/>
        </w:rPr>
        <w:t xml:space="preserve">Two years' notice</w:t>
      </w:r>
    </w:p>
    <w:p>
      <w:pPr>
        <w:jc w:val="both"/>
        <w:spacing w:before="100" w:after="100"/>
        <w:ind w:start="360"/>
        <w:ind w:firstLine="360"/>
      </w:pPr>
      <w:r>
        <w:rPr/>
      </w:r>
      <w:r>
        <w:rPr/>
      </w:r>
      <w:r>
        <w:t xml:space="preserve">A school administrative unit which receives tuition students shall give at least 2 years' notice to a sending school administrative unit before discontinuing the acceptance of tuition students.  The receiving unit shall file a copy of the notice with the commissioner.  If the school board of a receiving unit fails to give a proper 2-year notice, the commissioner may take enforcement action as authorized by </w:t>
      </w:r>
      <w:r>
        <w:t>section 6801‑A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797,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797,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§5803. Two years'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§5803. Two years'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§5803. TWO YEARS'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