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§6355. Enrollment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§6355. ENROLLMENT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