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§6621. Performance-enhancing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§6621. Performance-enhancing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§6621. PERFORMANCE-ENHANCING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