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and any regional sites it chooses to establish and maintain, to ensure the provision of child find activities, early intervention services and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§1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