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Special education</w:t>
      </w:r>
    </w:p>
    <w:p>
      <w:pPr>
        <w:jc w:val="both"/>
        <w:spacing w:before="100" w:after="100"/>
        <w:ind w:start="360"/>
      </w:pPr>
      <w:r>
        <w:rPr>
          <w:b/>
        </w:rPr>
        <w:t>(REALLOCATED FROM TITLE 20-A, SECTION 7004)</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commissioner is authorized to adopt rules necessary for the administration of this chapter and </w:t>
      </w:r>
      <w:r>
        <w:t>chapters 303</w:t>
      </w:r>
      <w:r>
        <w:t xml:space="preserve"> and </w:t>
      </w:r>
      <w:r>
        <w:t>305</w:t>
      </w:r>
      <w:r>
        <w:t xml:space="preserve">.  These rules are major substantive rules as defined in </w:t>
      </w:r>
      <w:r>
        <w:t>Title 5, chapter 375, subchapter 2‑A</w:t>
      </w:r>
      <w:r>
        <w:t xml:space="preserve">.  The department shall identify in its regulatory agenda, when feasible, a proposed rule or provision of a proposed rule that is anticipated to be more stringent than the federal statute or regulation, if an applicable federal statute or regulation exists.</w:t>
      </w:r>
    </w:p>
    <w:p>
      <w:pPr>
        <w:jc w:val="both"/>
        <w:spacing w:before="100" w:after="0"/>
        <w:ind w:start="360"/>
      </w:pPr>
      <w:r>
        <w:rPr/>
      </w:r>
      <w:r>
        <w:rPr/>
      </w:r>
      <w:r>
        <w:t xml:space="preserve">During the consideration of any proposed rule, when feasible, and using information available to it, the department shall identify provisions of the proposed rule that the department believes would impose a regulatory burden more stringent than the burden imposed by the corresponding federal statute or regulation, if such a federal statute or regulation exists, and explain in a separate section of the basis statement the justification for the difference between the agency rule and the federal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2005, c. 662,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§7005. Special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Special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§7005. SPECIAL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