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7007</w:t>
        <w:t xml:space="preserve">.  </w:t>
      </w:r>
      <w:r>
        <w:rPr>
          <w:b/>
        </w:rPr>
        <w:t xml:space="preserve">Related services</w:t>
      </w:r>
    </w:p>
    <w:p>
      <w:pPr>
        <w:jc w:val="both"/>
        <w:spacing w:before="100" w:after="100"/>
        <w:ind w:start="360"/>
        <w:ind w:firstLine="360"/>
      </w:pPr>
      <w:r>
        <w:rPr/>
      </w:r>
      <w:r>
        <w:rPr/>
      </w:r>
      <w:r>
        <w:t xml:space="preserve">Related services must be provided by qualified individuals employed or contracted by the school administrative unit, intermediate educational unit, public school or other public agency that receives federal or state funds to provide early intervention or free, appropriate public education services to children with disabilities in accordance with rules adopted by the department pursuant to </w:t>
      </w:r>
      <w:r>
        <w:t>section 7005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449,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 §1 (NEW). PL 2023, c. 449,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§7007. Related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§7007. Related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§7007. RELATED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