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as appropriate,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in accordance with Part C of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AAAAAA, §§1, 2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 and</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II, §1 (AMD).]</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§7209. General administration and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General administration and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§7209. GENERAL ADMINISTRATION AND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