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7251</w:t>
        <w:t xml:space="preserve">.  </w:t>
      </w:r>
      <w:r>
        <w:rPr>
          <w:b/>
        </w:rPr>
        <w:t xml:space="preserve">Local special education programs</w:t>
      </w:r>
    </w:p>
    <w:p>
      <w:pPr>
        <w:jc w:val="both"/>
        <w:spacing w:before="100" w:after="100"/>
        <w:ind w:start="360"/>
        <w:ind w:firstLine="360"/>
      </w:pPr>
      <w:r>
        <w:rPr/>
      </w:r>
      <w:r>
        <w:rPr/>
      </w:r>
      <w:r>
        <w:t xml:space="preserve">A school administrative unit or public school may establish an appropriate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2023, c. 449,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§A73 (AMD). PL 2023, c. 449,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§7251. Local special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§7251. Local special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§7251. LOCAL SPECIAL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