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7501</w:t>
        <w:t xml:space="preserve">.  </w:t>
      </w:r>
      <w:r>
        <w:rPr>
          <w:b/>
        </w:rPr>
        <w:t xml:space="preserve">Private schools</w:t>
      </w:r>
    </w:p>
    <w:p>
      <w:pPr>
        <w:jc w:val="both"/>
        <w:spacing w:before="100" w:after="100"/>
        <w:ind w:start="360"/>
        <w:ind w:firstLine="360"/>
      </w:pPr>
      <w:r>
        <w:rPr/>
      </w:r>
      <w:r>
        <w:rPr/>
      </w:r>
      <w:r>
        <w:t xml:space="preserve">The commissioner may require that special education programs in an approved private school or agency receiving state funds comply with rules for the conduct of programs within public schools.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§7501. Private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§7501. Private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§7501. PRIVATE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