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School.</w:t>
        <w:t xml:space="preserve"> </w:t>
      </w:r>
      <w:r>
        <w:t xml:space="preserve"> </w:t>
      </w:r>
      <w:r>
        <w:t xml:space="preserve">"School" means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Trustee.</w:t>
        <w:t xml:space="preserve"> </w:t>
      </w:r>
      <w:r>
        <w:t xml:space="preserve"> </w:t>
      </w:r>
      <w:r>
        <w:t xml:space="preserve">"Trustee" means a member of the Board of Trustees of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