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establish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regional school unit that includes the Town of Searsport retains ownership of the Searsport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and rules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marine science, technology, transportation and engineering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  The report under this subsection must include, at a minimum, assessments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F</w:t>
        <w:t xml:space="preserve">.  </w:t>
      </w:r>
      <w:r>
        <w:rPr/>
      </w:r>
      <w:r>
        <w:t xml:space="preserve">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H</w:t>
        <w:t xml:space="preserve">.  </w:t>
      </w:r>
      <w:r>
        <w:rPr/>
      </w:r>
      <w:r>
        <w:t xml:space="preserve">Board of trustees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655, §3 (AMD).]</w:t>
      </w:r>
    </w:p>
    <w:p>
      <w:pPr>
        <w:jc w:val="both"/>
        <w:spacing w:before="100" w:after="0"/>
        <w:ind w:start="360"/>
        <w:ind w:firstLine="360"/>
      </w:pPr>
      <w:r>
        <w:rPr>
          <w:b/>
        </w:rPr>
        <w:t>17</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18</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19</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r>
      <w:r>
        <w:rPr/>
      </w:r>
      <w:r>
        <w:t xml:space="preserve">Notwithstanding any other provision of this Title, rules established by the board pursuant to this section may differ from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§8235. Powers and duties of the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§8235. Powers and duties of the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§8235. POWERS AND DUTIES OF THE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