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Transportation</w:t>
      </w:r>
    </w:p>
    <w:p>
      <w:pPr>
        <w:jc w:val="both"/>
        <w:spacing w:before="100" w:after="100"/>
        <w:ind w:start="360"/>
        <w:ind w:firstLine="360"/>
      </w:pPr>
      <w:r>
        <w:rPr/>
      </w:r>
      <w:r>
        <w:rPr/>
      </w:r>
      <w:r>
        <w:t xml:space="preserve">A unit, region or center may provide transportation for adults to and from adult education courses.</w:t>
      </w:r>
      <w:r>
        <w:t xml:space="preserve">  </w:t>
      </w:r>
      <w:r xmlns:wp="http://schemas.openxmlformats.org/drawingml/2010/wordprocessingDrawing" xmlns:w15="http://schemas.microsoft.com/office/word/2012/wordml">
        <w:rPr>
          <w:rFonts w:ascii="Arial" w:hAnsi="Arial" w:cs="Arial"/>
          <w:sz w:val="22"/>
          <w:szCs w:val="22"/>
        </w:rPr>
        <w:t xml:space="preserve">[PL 2007, c. 131,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§43 (AMD). PL 2007, c. 131,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§8611.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