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8904</w:t>
        <w:t xml:space="preserve">.  </w:t>
      </w:r>
      <w:r>
        <w:rPr>
          <w:b/>
        </w:rPr>
        <w:t xml:space="preserve">Rules</w:t>
      </w:r>
    </w:p>
    <w:p>
      <w:pPr>
        <w:jc w:val="both"/>
        <w:spacing w:before="100" w:after="100"/>
        <w:ind w:start="360"/>
        <w:ind w:firstLine="360"/>
      </w:pPr>
      <w:r>
        <w:rPr/>
      </w:r>
      <w:r>
        <w:rPr/>
      </w:r>
      <w:r>
        <w:t xml:space="preserve">The commissioner shall adopt rules for the standards, approval and administration of the program fund, including the establishment of program fund requirements and specifications and procedures for the application and distribution of available funds, and to otherwise carry out the purpose of this chapter.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§8904.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§8904.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