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124, §2 (NEW).]</w:t>
      </w:r>
    </w:p>
    <w:p>
      <w:pPr>
        <w:jc w:val="both"/>
        <w:spacing w:before="100" w:after="0"/>
        <w:ind w:start="360"/>
        <w:ind w:firstLine="360"/>
      </w:pPr>
      <w:r>
        <w:rPr>
          <w:b/>
        </w:rPr>
        <w:t>1</w:t>
        <w:t xml:space="preserve">.  </w:t>
      </w:r>
      <w:r>
        <w:rPr>
          <w:b/>
        </w:rPr>
        <w:t xml:space="preserve">President.</w:t>
        <w:t xml:space="preserve"> </w:t>
      </w:r>
      <w:r>
        <w:t xml:space="preserve"> </w:t>
      </w:r>
      <w:r>
        <w:t xml:space="preserve">"President" means the president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878, Pt. I, §12 (AMD).]</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 established by </w:t>
      </w:r>
      <w:r>
        <w:t>chapter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§23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124, §2 (NEW). PL 1989, c. 443, §23 (AMD). PL 1989, c. 878, §I12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