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§9201. Certificate of approval;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Certificate of approval;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§9201. CERTIFICATE OF APPROVAL;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