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9504</w:t>
        <w:t xml:space="preserve">.  </w:t>
      </w:r>
      <w:r>
        <w:rPr>
          <w:b/>
        </w:rPr>
        <w:t xml:space="preserve">Rules</w:t>
      </w:r>
    </w:p>
    <w:p>
      <w:pPr>
        <w:jc w:val="both"/>
        <w:spacing w:before="100" w:after="100"/>
        <w:ind w:start="360"/>
        <w:ind w:firstLine="360"/>
      </w:pPr>
      <w:r>
        <w:rPr/>
      </w:r>
      <w:r>
        <w:rPr/>
      </w:r>
      <w:r>
        <w:t xml:space="preserve">The commissioner shall adopt rules for the administration and enforcement of this chapter.  The rules must establish requirements relating to advertising, records and record keeping, health and sanitation, safety, personnel, tuition, fees, contracts and other matters that protect the public and consumer interests and must establish requirements for payment of refunds, and notices and information to be provided to students.  Rules adopted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841, §5 (AMD). PL 1997, c. 771, §5 (AMD). RR 2021, c. 2, Pt. A, §44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§9504.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§9504.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