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302-A</w:t>
      </w:r>
    </w:p>
    <w:p>
      <w:pPr>
        <w:jc w:val="center"/>
        <w:ind w:start="360"/>
        <w:spacing w:before="300" w:after="300"/>
      </w:pPr>
      <w:r>
        <w:rPr>
          <w:b/>
        </w:rPr>
        <w:t xml:space="preserve">STUDENT LOANS</w:t>
      </w:r>
    </w:p>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302-A. STUDENT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302-A. STUDENT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302-A. STUDENT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