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306</w:t>
      </w:r>
    </w:p>
    <w:p>
      <w:pPr>
        <w:jc w:val="center"/>
        <w:ind w:start="360"/>
        <w:spacing w:before="300" w:after="300"/>
      </w:pPr>
      <w:r>
        <w:rPr>
          <w:b/>
        </w:rPr>
        <w:t xml:space="preserve">TUITION EQUALIZATION FUND</w:t>
      </w:r>
    </w:p>
    <w:p>
      <w:pPr>
        <w:jc w:val="both"/>
        <w:spacing w:before="100" w:after="100"/>
        <w:ind w:start="1080" w:hanging="720"/>
      </w:pPr>
      <w:r>
        <w:rPr>
          <w:b/>
        </w:rPr>
        <w:t>§</w:t>
        <w:t>2311</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510, §25 (AMD). PL 1977, c. 524 (AMD). PL 1981, c. 693, §§3,8 (RP). </w:t>
      </w:r>
    </w:p>
    <w:p>
      <w:pPr>
        <w:jc w:val="both"/>
        <w:spacing w:before="100" w:after="100"/>
        <w:ind w:start="1080" w:hanging="720"/>
      </w:pPr>
      <w:r>
        <w:rPr>
          <w:b/>
        </w:rPr>
        <w:t>§</w:t>
        <w:t>2312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2314</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746, §§16-A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306.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306.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306.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