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APPORTIONMENT</w:t>
      </w:r>
    </w:p>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15.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