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Commission on Governmental Ethics and Election Practices established under </w:t>
      </w:r>
      <w:r>
        <w:t>Title 1, 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1-A</w:t>
        <w:t xml:space="preserve">.  </w:t>
      </w:r>
      <w:r>
        <w:rPr>
          <w:b/>
        </w:rPr>
        <w:t xml:space="preserve">Caucus political action committee.</w:t>
        <w:t xml:space="preserve"> </w:t>
      </w:r>
      <w:r>
        <w:t xml:space="preserve"> </w:t>
      </w:r>
      <w:r>
        <w:t xml:space="preserve">"Caucus political action committee" means a political action committee designated under </w:t>
      </w:r>
      <w:r>
        <w:t>section 1053‑C</w:t>
      </w:r>
      <w:r>
        <w:t xml:space="preserve"> to promote the election of nominees of a political party to the Senate or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§2 (NEW).]</w:t>
      </w:r>
    </w:p>
    <w:p>
      <w:pPr>
        <w:jc w:val="both"/>
        <w:spacing w:before="100" w:after="0"/>
        <w:ind w:start="360"/>
        <w:ind w:firstLine="360"/>
      </w:pPr>
      <w:r>
        <w:rPr>
          <w:b/>
        </w:rPr>
        <w:t>2</w:t>
        <w:t xml:space="preserve">.  </w:t>
      </w:r>
      <w:r>
        <w:rPr>
          <w:b/>
        </w:rPr>
        <w:t xml:space="preserve">Election.</w:t>
        <w:t xml:space="preserve"> </w:t>
      </w:r>
      <w:r>
        <w:t xml:space="preserve"> </w:t>
      </w:r>
      <w:r>
        <w:t xml:space="preserve">"Election" means any primary, general or special election for state or county office or municipal office in a municipality subject to </w:t>
      </w:r>
      <w:r>
        <w:t>Title 30‑A, section 2502, subsection 1</w:t>
      </w:r>
      <w:r>
        <w:t xml:space="preserve"> and any referendum, including a municipal referendum in a municipality subject to </w:t>
      </w:r>
      <w:r>
        <w:t>Title 30‑A, section 2502,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323, §2 (AMD).]</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committee, firm, partnership, corporation, association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443,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483, §1 (AMD). PL 2007, c. 443, Pt. A, §1 (AMD). PL 2017, c. 475, Pt. A, §27 (AMD). PL 2019, c. 323, §2 (AMD). PL 2019, c. 635,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