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Publication or distribution of political communications</w:t>
      </w:r>
    </w:p>
    <w:p>
      <w:pPr>
        <w:jc w:val="both"/>
        <w:spacing w:before="100" w:after="100"/>
        <w:ind w:start="360"/>
        <w:ind w:firstLine="360"/>
      </w:pPr>
      <w:r>
        <w:rPr/>
      </w:r>
      <w:r>
        <w:rPr/>
      </w:r>
      <w:r>
        <w:t xml:space="preserve">A political action committee that makes an expenditure to finance a communication expressly advocating the election or defeat of a candidate  or that names or depicts a clearly identified candidate is subject to the requirements of </w:t>
      </w:r>
      <w:r>
        <w:t>section 1014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443,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§§26,31 (AMD). PL 1993, c. 352, §5 (AMD). PL 1995, c. 483, §18 (AMD). PL 1997, c. 436, §119 (AMD). PL 2001, c. 430, §9 (AMD). PL 2003, c. 615, §2 (AMD). PL 2005, c. 308, §2 (AMD). PL 2007, c. 443,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§1055. Publication or distribution of political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Publication or distribution of political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§1055. PUBLICATION OR DISTRIBUTION OF POLITICAL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